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683" w:rsidRDefault="00402BB6">
      <w:pPr>
        <w:spacing w:line="360" w:lineRule="auto"/>
        <w:jc w:val="right"/>
        <w:rPr>
          <w:b/>
          <w:sz w:val="18"/>
          <w:szCs w:val="18"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  <w:sz w:val="18"/>
          <w:szCs w:val="18"/>
        </w:rPr>
        <w:t>Приложение № 6</w:t>
      </w:r>
      <w:bookmarkStart w:id="0" w:name="_GoBack"/>
      <w:bookmarkEnd w:id="0"/>
      <w:r>
        <w:rPr>
          <w:b/>
          <w:sz w:val="18"/>
          <w:szCs w:val="18"/>
        </w:rPr>
        <w:t xml:space="preserve">  к Техническим требованиям</w:t>
      </w:r>
    </w:p>
    <w:tbl>
      <w:tblPr>
        <w:tblW w:w="0" w:type="auto"/>
        <w:tblInd w:w="5328" w:type="dxa"/>
        <w:tblLook w:val="01E0" w:firstRow="1" w:lastRow="1" w:firstColumn="1" w:lastColumn="1" w:noHBand="0" w:noVBand="0"/>
      </w:tblPr>
      <w:tblGrid>
        <w:gridCol w:w="4809"/>
      </w:tblGrid>
      <w:tr w:rsidR="00AB2683"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B2683" w:rsidRDefault="00402BB6">
            <w:pPr>
              <w:rPr>
                <w:b/>
              </w:rPr>
            </w:pPr>
            <w:r>
              <w:rPr>
                <w:b/>
              </w:rPr>
              <w:t xml:space="preserve">  Утверждено приказом ОАО «ДГК» </w:t>
            </w:r>
          </w:p>
          <w:p w:rsidR="00AB2683" w:rsidRDefault="00402BB6">
            <w:pPr>
              <w:rPr>
                <w:b/>
              </w:rPr>
            </w:pPr>
            <w:r>
              <w:rPr>
                <w:b/>
              </w:rPr>
              <w:t xml:space="preserve">  № ____ от ________ 201__г. </w:t>
            </w:r>
          </w:p>
        </w:tc>
      </w:tr>
      <w:tr w:rsidR="00AB2683">
        <w:trPr>
          <w:trHeight w:val="438"/>
        </w:trPr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B2683" w:rsidRDefault="00AB2683">
            <w:pPr>
              <w:rPr>
                <w:b/>
              </w:rPr>
            </w:pPr>
          </w:p>
        </w:tc>
      </w:tr>
      <w:tr w:rsidR="00AB2683">
        <w:trPr>
          <w:trHeight w:val="834"/>
        </w:trPr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AB2683" w:rsidRDefault="00AB2683">
            <w:pPr>
              <w:jc w:val="center"/>
              <w:rPr>
                <w:sz w:val="28"/>
                <w:szCs w:val="28"/>
              </w:rPr>
            </w:pPr>
          </w:p>
        </w:tc>
      </w:tr>
      <w:tr w:rsidR="00AB2683">
        <w:trPr>
          <w:trHeight w:val="714"/>
        </w:trPr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AB2683" w:rsidRDefault="00AB2683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2683" w:rsidRDefault="00AB2683">
      <w:pPr>
        <w:ind w:firstLine="720"/>
        <w:jc w:val="right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center"/>
        <w:rPr>
          <w:sz w:val="28"/>
          <w:szCs w:val="28"/>
        </w:rPr>
      </w:pPr>
    </w:p>
    <w:p w:rsidR="00AB2683" w:rsidRDefault="00AB2683">
      <w:pPr>
        <w:ind w:firstLine="720"/>
        <w:jc w:val="center"/>
        <w:rPr>
          <w:sz w:val="28"/>
          <w:szCs w:val="28"/>
        </w:rPr>
      </w:pPr>
    </w:p>
    <w:p w:rsidR="00AB2683" w:rsidRDefault="00AB2683">
      <w:pPr>
        <w:ind w:firstLine="720"/>
        <w:jc w:val="center"/>
        <w:rPr>
          <w:sz w:val="28"/>
          <w:szCs w:val="28"/>
        </w:rPr>
      </w:pPr>
    </w:p>
    <w:p w:rsidR="00AB2683" w:rsidRDefault="00AB2683">
      <w:pPr>
        <w:jc w:val="center"/>
        <w:rPr>
          <w:b/>
          <w:sz w:val="28"/>
          <w:szCs w:val="28"/>
        </w:rPr>
      </w:pPr>
    </w:p>
    <w:p w:rsidR="00AB2683" w:rsidRDefault="00402BB6">
      <w:pPr>
        <w:jc w:val="center"/>
        <w:rPr>
          <w:b/>
          <w:sz w:val="28"/>
          <w:szCs w:val="28"/>
        </w:rPr>
      </w:pPr>
      <w:r>
        <w:rPr>
          <w:b/>
          <w:sz w:val="32"/>
          <w:szCs w:val="28"/>
        </w:rPr>
        <w:t>РЕГЛАМЕНТ</w:t>
      </w:r>
    </w:p>
    <w:p w:rsidR="00AB2683" w:rsidRDefault="00402B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взаимоотношений м</w:t>
      </w:r>
      <w:r>
        <w:rPr>
          <w:b/>
          <w:sz w:val="28"/>
          <w:szCs w:val="28"/>
        </w:rPr>
        <w:t xml:space="preserve">ежду «Заказчиком» и «Подрядчиком» при возникновении финансовой ответственности Подрядных организаций за качество и сроки проведения ремонта, наладки, модернизации и реконструкции оборудования, передаточных устройств и </w:t>
      </w:r>
      <w:proofErr w:type="spellStart"/>
      <w:r>
        <w:rPr>
          <w:b/>
          <w:sz w:val="28"/>
          <w:szCs w:val="28"/>
        </w:rPr>
        <w:t>ЗиС</w:t>
      </w:r>
      <w:proofErr w:type="spellEnd"/>
      <w:r>
        <w:rPr>
          <w:b/>
          <w:sz w:val="28"/>
          <w:szCs w:val="28"/>
        </w:rPr>
        <w:t xml:space="preserve"> структурных подразделений филиалов</w:t>
      </w:r>
    </w:p>
    <w:p w:rsidR="00AB2683" w:rsidRDefault="00402B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«Дальневосточная генерирующая компания».</w:t>
      </w:r>
    </w:p>
    <w:p w:rsidR="00AB2683" w:rsidRDefault="00AB2683">
      <w:pPr>
        <w:ind w:firstLine="720"/>
        <w:jc w:val="both"/>
        <w:rPr>
          <w:b/>
          <w:sz w:val="28"/>
          <w:szCs w:val="28"/>
        </w:rPr>
      </w:pPr>
    </w:p>
    <w:p w:rsidR="00AB2683" w:rsidRDefault="00AB2683">
      <w:pPr>
        <w:ind w:firstLine="720"/>
        <w:jc w:val="both"/>
        <w:rPr>
          <w:b/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ind w:firstLine="720"/>
        <w:jc w:val="both"/>
        <w:rPr>
          <w:sz w:val="28"/>
          <w:szCs w:val="28"/>
        </w:rPr>
      </w:pPr>
    </w:p>
    <w:p w:rsidR="00AB2683" w:rsidRDefault="00AB2683">
      <w:pPr>
        <w:tabs>
          <w:tab w:val="left" w:pos="4114"/>
        </w:tabs>
        <w:ind w:firstLine="720"/>
        <w:jc w:val="center"/>
        <w:rPr>
          <w:sz w:val="28"/>
          <w:szCs w:val="28"/>
        </w:rPr>
      </w:pPr>
    </w:p>
    <w:p w:rsidR="00AB2683" w:rsidRDefault="00402BB6">
      <w:pPr>
        <w:tabs>
          <w:tab w:val="left" w:pos="4114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г. Хабаровск</w:t>
      </w:r>
    </w:p>
    <w:p w:rsidR="00AB2683" w:rsidRDefault="00AB2683">
      <w:pPr>
        <w:tabs>
          <w:tab w:val="left" w:pos="4114"/>
        </w:tabs>
        <w:ind w:firstLine="720"/>
        <w:jc w:val="center"/>
        <w:rPr>
          <w:sz w:val="28"/>
          <w:szCs w:val="28"/>
        </w:rPr>
      </w:pPr>
    </w:p>
    <w:p w:rsidR="00AB2683" w:rsidRDefault="00402BB6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Цель внед</w:t>
      </w:r>
      <w:r>
        <w:rPr>
          <w:sz w:val="28"/>
          <w:szCs w:val="28"/>
        </w:rPr>
        <w:t xml:space="preserve">рения настоящего Регламента – повышение ответственности персонала подрядных организаций и «Заказчика» за качество и сроки выполнения объёмов работ по ремонту, наладке, модернизации и реконструкции оборудования, передаточных устройств и </w:t>
      </w:r>
      <w:proofErr w:type="spellStart"/>
      <w:r>
        <w:rPr>
          <w:sz w:val="28"/>
          <w:szCs w:val="28"/>
        </w:rPr>
        <w:t>ЗиС</w:t>
      </w:r>
      <w:proofErr w:type="spellEnd"/>
      <w:r>
        <w:rPr>
          <w:sz w:val="28"/>
          <w:szCs w:val="28"/>
        </w:rPr>
        <w:t xml:space="preserve"> (далее ремонта).</w:t>
      </w:r>
    </w:p>
    <w:p w:rsidR="00AB2683" w:rsidRDefault="00AB2683">
      <w:pPr>
        <w:spacing w:line="276" w:lineRule="auto"/>
        <w:ind w:firstLine="720"/>
        <w:jc w:val="both"/>
        <w:rPr>
          <w:sz w:val="28"/>
          <w:szCs w:val="28"/>
        </w:rPr>
      </w:pPr>
    </w:p>
    <w:p w:rsidR="00AB2683" w:rsidRDefault="00402BB6">
      <w:pPr>
        <w:numPr>
          <w:ilvl w:val="0"/>
          <w:numId w:val="17"/>
        </w:numPr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качества ремонта.</w:t>
      </w:r>
    </w:p>
    <w:p w:rsidR="00AB2683" w:rsidRDefault="00402BB6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Показателем качества ремонта является:</w:t>
      </w:r>
    </w:p>
    <w:p w:rsidR="00AB2683" w:rsidRDefault="00402BB6">
      <w:pPr>
        <w:numPr>
          <w:ilvl w:val="1"/>
          <w:numId w:val="17"/>
        </w:numPr>
        <w:tabs>
          <w:tab w:val="clear" w:pos="1290"/>
          <w:tab w:val="num" w:pos="1998"/>
        </w:tabs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выполненных ремонтных работ, которая характеризует организационно-техническую деятельность предприятия, участвующего в ремонте.</w:t>
      </w:r>
    </w:p>
    <w:p w:rsidR="00AB2683" w:rsidRDefault="00402BB6">
      <w:pPr>
        <w:numPr>
          <w:ilvl w:val="1"/>
          <w:numId w:val="17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актах приёмки оборудования (</w:t>
      </w:r>
      <w:proofErr w:type="spellStart"/>
      <w:r>
        <w:rPr>
          <w:sz w:val="28"/>
          <w:szCs w:val="28"/>
        </w:rPr>
        <w:t>ЗиС</w:t>
      </w:r>
      <w:proofErr w:type="spellEnd"/>
      <w:r>
        <w:rPr>
          <w:sz w:val="28"/>
          <w:szCs w:val="28"/>
        </w:rPr>
        <w:t xml:space="preserve">) из ремонта устанавливается одна из следующих оценок:                                                                                                    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отлично;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хорошо;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удовлетворительно;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неудовлетворительно;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>. По окончании выполнения согласованного объёма работ по ремонту, модернизации или реконструкции объекта составляется акт приёмки оборудования (</w:t>
      </w:r>
      <w:proofErr w:type="spellStart"/>
      <w:r>
        <w:rPr>
          <w:sz w:val="28"/>
          <w:szCs w:val="28"/>
        </w:rPr>
        <w:t>ЗиС</w:t>
      </w:r>
      <w:proofErr w:type="spellEnd"/>
      <w:r>
        <w:rPr>
          <w:sz w:val="28"/>
          <w:szCs w:val="28"/>
        </w:rPr>
        <w:t>) из ремонта.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Отдел ремонта (капитального строительства) СП, филиала, принимает к зачёту объём выполненн</w:t>
      </w:r>
      <w:r>
        <w:rPr>
          <w:sz w:val="28"/>
          <w:szCs w:val="28"/>
        </w:rPr>
        <w:t>ых работ по форме КС-2 от «Подрядчика» только при наличии отчетной технической документации.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 Акт приёмки объекта с визой куратора (ответственного от цеха) по факту приёмки (испытания, прокрутки, осмотра и т.д.) передаётся руководителю ремонта, началь</w:t>
      </w:r>
      <w:r>
        <w:rPr>
          <w:sz w:val="28"/>
          <w:szCs w:val="28"/>
        </w:rPr>
        <w:t>нику цеха (сетевого района).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 Оценка качества выполненных ремонтных работ устанавливается за каждый отдельный узел (агрегат, объект), каждому предприятию в пределах  выполненного им объёма ремонта с учетом выполнения основных и дополнительных требован</w:t>
      </w:r>
      <w:r>
        <w:rPr>
          <w:sz w:val="28"/>
          <w:szCs w:val="28"/>
        </w:rPr>
        <w:t>ий. К основным требованиям относятся: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согласованной ведомости планируемых работ, уточнённой по результатам </w:t>
      </w:r>
      <w:proofErr w:type="spellStart"/>
      <w:r>
        <w:rPr>
          <w:sz w:val="28"/>
          <w:szCs w:val="28"/>
        </w:rPr>
        <w:t>дефектации</w:t>
      </w:r>
      <w:proofErr w:type="spellEnd"/>
      <w:r>
        <w:rPr>
          <w:sz w:val="28"/>
          <w:szCs w:val="28"/>
        </w:rPr>
        <w:t>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ремонтным персоналом требований НТД на ремонт оборудования (</w:t>
      </w:r>
      <w:proofErr w:type="spellStart"/>
      <w:r>
        <w:rPr>
          <w:sz w:val="28"/>
          <w:szCs w:val="28"/>
        </w:rPr>
        <w:t>ЗиС</w:t>
      </w:r>
      <w:proofErr w:type="spellEnd"/>
      <w:r>
        <w:rPr>
          <w:sz w:val="28"/>
          <w:szCs w:val="28"/>
        </w:rPr>
        <w:t>) и его составных частей;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оценок ка</w:t>
      </w:r>
      <w:r>
        <w:rPr>
          <w:sz w:val="28"/>
          <w:szCs w:val="28"/>
        </w:rPr>
        <w:t>чества отремонтированного оборудования «соответствует требованиям НТД с ограничением» по вине исполнителя ремонта;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остановов оборудования в течение срока подконтрольной эксплуатации по вине исполнителя ремонта.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требованиям отн</w:t>
      </w:r>
      <w:r>
        <w:rPr>
          <w:sz w:val="28"/>
          <w:szCs w:val="28"/>
        </w:rPr>
        <w:t>осятся: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наличие необходимого комплекта ремонтной документации;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применение необходимой технологической оснастки, приспособлений и инструмента, предусмотренных НТД и соответствие их параметров паспортным данным;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соответствие выполненных технологических</w:t>
      </w:r>
      <w:r>
        <w:rPr>
          <w:sz w:val="28"/>
          <w:szCs w:val="28"/>
        </w:rPr>
        <w:t xml:space="preserve"> операций, включая контрольные, требованиям НТД;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входного контроля применённых при ремонте, модернизации и реконструкции материалов и запасных частей;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полного комплекта исполнительной и отчётной документации по ремонту, модернизации </w:t>
      </w:r>
      <w:r>
        <w:rPr>
          <w:sz w:val="28"/>
          <w:szCs w:val="28"/>
        </w:rPr>
        <w:t>и реконструкции, перечень которого утверждается главным инженером станции, тепловых сетей;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 Оценка «отлично» устанавливается при выполнении всех основных и дополнительных требований.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Оценка «хорошо» устанавливается при выполнении всех основных</w:t>
      </w:r>
      <w:r>
        <w:rPr>
          <w:sz w:val="28"/>
          <w:szCs w:val="28"/>
        </w:rPr>
        <w:t xml:space="preserve"> и неполном выполнении (не менее (50%), дополнительных требований.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Оценка «удовлетворительно» устанавливается при выполнении всех основных и частичном (менее 50%) дополнительных требований. 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Оценка «неудовлетворительно» устанавливается пр</w:t>
      </w:r>
      <w:r>
        <w:rPr>
          <w:sz w:val="28"/>
          <w:szCs w:val="28"/>
        </w:rPr>
        <w:t>и невыполнении одного из основных требований</w:t>
      </w:r>
    </w:p>
    <w:p w:rsidR="00AB2683" w:rsidRDefault="00402BB6">
      <w:pPr>
        <w:numPr>
          <w:ilvl w:val="1"/>
          <w:numId w:val="18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основных и дополнительных требований для определения оценки качества выполненных ремонтных работ является обязательным для «Подрядчика», т.к. смета затрат, являющаяся неотъемлемой частью договора, составляется: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   на строительные работы, ремон</w:t>
      </w:r>
      <w:r>
        <w:rPr>
          <w:sz w:val="28"/>
          <w:szCs w:val="28"/>
        </w:rPr>
        <w:t xml:space="preserve">т зданий и сооружений, монтаж оборудования и пусконаладочные работы по действующим нормативным документам министерства строительства и ЖКХ Российской Федерации (ранее –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РФ, Госстроя России) и региональных органов по ценообразованию в строительст</w:t>
      </w:r>
      <w:r>
        <w:rPr>
          <w:sz w:val="28"/>
          <w:szCs w:val="28"/>
        </w:rPr>
        <w:t>ве, в соответствии с административным делением РФ;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 ремонт и техническое обслуживание энергетического оборудования по Базовым ценам на ремонт энергетического оборудования, адекватным к условиям функционирования конкурентного рынка услуг по ремонту и те</w:t>
      </w:r>
      <w:r>
        <w:rPr>
          <w:sz w:val="28"/>
          <w:szCs w:val="28"/>
        </w:rPr>
        <w:t>хническому перевооружению, в которых учтены затраты «Подрядчика» на выполнение требований НТД по ремонту, выполнение всех промежуточных операций и оформление исполнительной и отчётной документации;</w:t>
      </w:r>
    </w:p>
    <w:p w:rsidR="00AB2683" w:rsidRDefault="00402BB6">
      <w:pPr>
        <w:numPr>
          <w:ilvl w:val="1"/>
          <w:numId w:val="18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Предприятия исполнители ремонта гарантируют соответствие о</w:t>
      </w:r>
      <w:r>
        <w:rPr>
          <w:sz w:val="28"/>
          <w:szCs w:val="28"/>
        </w:rPr>
        <w:t xml:space="preserve">тремонтированного оборудования требованиям НТД на ремонт в течение установленных сроков и (или) наработку с момента включения под нагрузку при соблюдении электростанцией, тепловыми сетями  правил </w:t>
      </w:r>
      <w:r>
        <w:rPr>
          <w:sz w:val="28"/>
          <w:szCs w:val="28"/>
        </w:rPr>
        <w:lastRenderedPageBreak/>
        <w:t>транспортирования, хранения и эксплуатации. При отсутствии в</w:t>
      </w:r>
      <w:r>
        <w:rPr>
          <w:sz w:val="28"/>
          <w:szCs w:val="28"/>
        </w:rPr>
        <w:t xml:space="preserve"> НТД на ремонт в гарантийного срока эксплуатации (наработки) или при отсутствии НТД на ремонт, гарантийный срок эксплуатации устанавливается не менее 12 месяцев с момента включения оборудования под нагрузку или сдачи объекта в эксплуатацию по акту приёмки.</w:t>
      </w:r>
    </w:p>
    <w:p w:rsidR="00AB2683" w:rsidRDefault="00402BB6">
      <w:pPr>
        <w:numPr>
          <w:ilvl w:val="0"/>
          <w:numId w:val="18"/>
        </w:numPr>
        <w:tabs>
          <w:tab w:val="clear" w:pos="645"/>
          <w:tab w:val="num" w:pos="126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по срокам и качеству выполнения объёма работ по ремонту объекта.</w:t>
      </w:r>
    </w:p>
    <w:p w:rsidR="00AB2683" w:rsidRDefault="00402BB6">
      <w:pPr>
        <w:numPr>
          <w:ilvl w:val="1"/>
          <w:numId w:val="19"/>
        </w:numPr>
        <w:tabs>
          <w:tab w:val="clear" w:pos="2138"/>
          <w:tab w:val="num" w:pos="2148"/>
        </w:tabs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«Подрядчиком» оценки «неудовлетворительно» по промежуточному акту и (или) акту приёмки оборудования (</w:t>
      </w:r>
      <w:proofErr w:type="spellStart"/>
      <w:r>
        <w:rPr>
          <w:sz w:val="28"/>
          <w:szCs w:val="28"/>
        </w:rPr>
        <w:t>ЗиС</w:t>
      </w:r>
      <w:proofErr w:type="spellEnd"/>
      <w:r>
        <w:rPr>
          <w:sz w:val="28"/>
          <w:szCs w:val="28"/>
        </w:rPr>
        <w:t>) из ремонта, оплата по данному объекту за выполненный о</w:t>
      </w:r>
      <w:r>
        <w:rPr>
          <w:sz w:val="28"/>
          <w:szCs w:val="28"/>
        </w:rPr>
        <w:t>бъём работ не производится до устранения выявленных замечаний и получения положительной оценки качества выполненных работ. «Подрядчик» устраняет замечания, в сроки согласованные с Заказчиком, собственными силами или с привлечением другого «Подрядчика» по с</w:t>
      </w:r>
      <w:r>
        <w:rPr>
          <w:sz w:val="28"/>
          <w:szCs w:val="28"/>
        </w:rPr>
        <w:t>огласованию с «Заказчиком» за свой счёт.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срыве согласованного срока выполнения работ на ремонтируемом объекте по вине «Подрядчика», повлекшего снижение оплаты установленной мощности и объёма поставки электроэнергии, заявленной на ОРЭМ, а так же необход</w:t>
      </w:r>
      <w:r>
        <w:rPr>
          <w:sz w:val="28"/>
          <w:szCs w:val="28"/>
        </w:rPr>
        <w:t xml:space="preserve">имости включения другого оборудования, связанного с дополнительными затратами на топливо,   «Подрядчик» компенсирует  «Заказчику» нанесенный ущерб в полном объеме. </w:t>
      </w:r>
    </w:p>
    <w:p w:rsidR="00AB2683" w:rsidRDefault="00402BB6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Ремонтные предприятия и организации (Подрядчики) несут ответственность за согласованные с «</w:t>
      </w:r>
      <w:r>
        <w:rPr>
          <w:sz w:val="28"/>
          <w:szCs w:val="28"/>
        </w:rPr>
        <w:t>Заказчиком» промежуточные и окончательные сроки выполнения объёма работ, оговоренные в документах (программы до ремонтного и послеремонтного испытания, сетевой график ремонта, разрешение (ордер), наряд-допуск, график модернизации, реконструкции, наладки, д</w:t>
      </w:r>
      <w:r>
        <w:rPr>
          <w:sz w:val="28"/>
          <w:szCs w:val="28"/>
        </w:rPr>
        <w:t>оговор и т.д.)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каждому случаю отклонения от утверждённого срока выполнения работ, «Заказчиком» создается комиссия с обязательным участием ответственного представителя «Подрядчика» для составления двухстороннего акта с указанием объекта, причины отклонен</w:t>
      </w:r>
      <w:r>
        <w:rPr>
          <w:sz w:val="28"/>
          <w:szCs w:val="28"/>
        </w:rPr>
        <w:t>ия и виновника срыва установленного срока. В случае вины «Подрядчика», ответственный представитель «Подрядчика» обязан подписать двухсторонний акт, с определением причин и виновной стороны изменения сроков.  При несогласии с решением комиссии прилагает осо</w:t>
      </w:r>
      <w:r>
        <w:rPr>
          <w:sz w:val="28"/>
          <w:szCs w:val="28"/>
        </w:rPr>
        <w:t>бое мнение. «Заказчик» и «Подрядчик» обязаны совместно разработать программу мероприятий по ликвидации отставания выполнения объёмов работ в установленный срок.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срыве окончательного срока ремонта объекта, в обязательном порядке назначается комиссия и с</w:t>
      </w:r>
      <w:r>
        <w:rPr>
          <w:sz w:val="28"/>
          <w:szCs w:val="28"/>
        </w:rPr>
        <w:t xml:space="preserve">оставляется совместный акт «Заказчика» и «Подрядчика» с указанием времени </w:t>
      </w:r>
      <w:proofErr w:type="spellStart"/>
      <w:r>
        <w:rPr>
          <w:sz w:val="28"/>
          <w:szCs w:val="28"/>
        </w:rPr>
        <w:t>перепростоя</w:t>
      </w:r>
      <w:proofErr w:type="spellEnd"/>
      <w:r>
        <w:rPr>
          <w:sz w:val="28"/>
          <w:szCs w:val="28"/>
        </w:rPr>
        <w:t xml:space="preserve"> в ремонте, причины </w:t>
      </w:r>
      <w:proofErr w:type="spellStart"/>
      <w:r>
        <w:rPr>
          <w:sz w:val="28"/>
          <w:szCs w:val="28"/>
        </w:rPr>
        <w:t>перепростоя</w:t>
      </w:r>
      <w:proofErr w:type="spellEnd"/>
      <w:r>
        <w:rPr>
          <w:sz w:val="28"/>
          <w:szCs w:val="28"/>
        </w:rPr>
        <w:t xml:space="preserve"> и виновности сторон, участвующих в организационно-техническом выполнении ремонта. Отказ «Подрядчика», в течение 3 дней от подписания двухст</w:t>
      </w:r>
      <w:r>
        <w:rPr>
          <w:sz w:val="28"/>
          <w:szCs w:val="28"/>
        </w:rPr>
        <w:t>ороннего акта, рассматривается, как невыполнение договорных обязательств, с последующим решением «Заказчика» о прекращении договорных отношений или применением определенных санкций к «Подрядчику».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снижения «Заказчику» оплаты установленной мощности</w:t>
      </w:r>
      <w:r>
        <w:rPr>
          <w:sz w:val="28"/>
          <w:szCs w:val="28"/>
        </w:rPr>
        <w:t>, заявленной на ОРЭМ, по причине несвоевременного выхода из ремонта и (или) некачественного ремонта объекта, подтвержденного двухсторонним актом, «Подрядчик» возмещает данные убытки «Заказчику».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«Подрядчик» возмещает убытки по каждому случаю снижения оплат</w:t>
      </w:r>
      <w:r>
        <w:rPr>
          <w:sz w:val="28"/>
          <w:szCs w:val="28"/>
        </w:rPr>
        <w:t>ы установленной мощности и оплаты поставки электроэнергии, подтвержденного двухсторонним актом, на протяжении гарантийного срока эксплуатации.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размер убытков не превышает 1 млн. руб. возмещение производится путем удержания денежных средств подлежащих </w:t>
      </w:r>
      <w:r>
        <w:rPr>
          <w:sz w:val="28"/>
          <w:szCs w:val="28"/>
        </w:rPr>
        <w:t>перечислению «Подрядчику» по актам выполненных работ.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сумма убытков превышает 1 млн. руб., возмещение убытков «Заказчику» производится в </w:t>
      </w:r>
      <w:proofErr w:type="spellStart"/>
      <w:r>
        <w:rPr>
          <w:sz w:val="28"/>
          <w:szCs w:val="28"/>
        </w:rPr>
        <w:t>претензионно</w:t>
      </w:r>
      <w:proofErr w:type="spellEnd"/>
      <w:r>
        <w:rPr>
          <w:sz w:val="28"/>
          <w:szCs w:val="28"/>
        </w:rPr>
        <w:t>-исковом порядке.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Претензионная работа с исполнителем по ремонтным услугам ведётся ответствен</w:t>
      </w:r>
      <w:r>
        <w:rPr>
          <w:sz w:val="28"/>
          <w:szCs w:val="28"/>
        </w:rPr>
        <w:t>ным исполнителем, назначенным приказом по филиалу и структурному подразделению.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Ущерб «Заказчика», вызванный неисправностью оборудования по вине исполнителя работ, компенсируются подрядной организацией проводившей работы. Компенсации подлежат все затраты с</w:t>
      </w:r>
      <w:r>
        <w:rPr>
          <w:sz w:val="28"/>
          <w:szCs w:val="28"/>
        </w:rPr>
        <w:t xml:space="preserve">вязанные с расходом воды (гидравлическое испытание), электроэнергией на опробование механизмов для испытаний после восстановительного ремонта, топливом на растопку </w:t>
      </w:r>
      <w:proofErr w:type="spellStart"/>
      <w:r>
        <w:rPr>
          <w:sz w:val="28"/>
          <w:szCs w:val="28"/>
        </w:rPr>
        <w:t>котлоагрегата</w:t>
      </w:r>
      <w:proofErr w:type="spellEnd"/>
      <w:r>
        <w:rPr>
          <w:sz w:val="28"/>
          <w:szCs w:val="28"/>
        </w:rPr>
        <w:t xml:space="preserve"> из «холодного» состояния (нормативный расход мазута), а также снижение оплаты </w:t>
      </w:r>
      <w:r>
        <w:rPr>
          <w:sz w:val="28"/>
          <w:szCs w:val="28"/>
        </w:rPr>
        <w:t>располагаемой мощности на ОРЭМ.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затрат по ущербу,  «Заказчиком» составляется акт по затратам на вывод оборудования из аварийной ситуации, в котором приводятся расчёты затрат с указанием документов, определяющих исходные данные для расчёта.</w:t>
      </w:r>
    </w:p>
    <w:p w:rsidR="00AB2683" w:rsidRDefault="00402BB6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ущерб нанесен в результате действий нескольких исполнителей, по каждому «Подрядчику» определяется доля его вины и в соответствии с её величиной определяется конкретная сумма убытков, подлежащая возмещению каждым «Подрядчиком». </w:t>
      </w:r>
    </w:p>
    <w:p w:rsidR="00AB2683" w:rsidRDefault="00AB2683">
      <w:pPr>
        <w:spacing w:line="276" w:lineRule="auto"/>
        <w:jc w:val="both"/>
        <w:rPr>
          <w:sz w:val="28"/>
          <w:szCs w:val="28"/>
        </w:rPr>
      </w:pPr>
    </w:p>
    <w:p w:rsidR="00AB2683" w:rsidRDefault="00402BB6">
      <w:pPr>
        <w:numPr>
          <w:ilvl w:val="0"/>
          <w:numId w:val="19"/>
        </w:numPr>
        <w:spacing w:line="276" w:lineRule="auto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Положения данного регл</w:t>
      </w:r>
      <w:r>
        <w:rPr>
          <w:sz w:val="28"/>
          <w:szCs w:val="28"/>
        </w:rPr>
        <w:t>амента обязаны включаться в договора в графу «Ответственность сторон» по усмотрению «Заказчика», определяющего влияние ремонтируемого объекта на условия оплаты установленной мощности и объёмов, электроэнергии заявляемой на ОРЭМ, тепловой энергии,   задавае</w:t>
      </w:r>
      <w:r>
        <w:rPr>
          <w:sz w:val="28"/>
          <w:szCs w:val="28"/>
        </w:rPr>
        <w:t xml:space="preserve">мой графиком параметров тепловой сети. </w:t>
      </w:r>
    </w:p>
    <w:sectPr w:rsidR="00AB2683">
      <w:headerReference w:type="even" r:id="rId7"/>
      <w:footerReference w:type="first" r:id="rId8"/>
      <w:pgSz w:w="11906" w:h="16838"/>
      <w:pgMar w:top="719" w:right="746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683" w:rsidRDefault="00402BB6">
      <w:r>
        <w:separator/>
      </w:r>
    </w:p>
  </w:endnote>
  <w:endnote w:type="continuationSeparator" w:id="0">
    <w:p w:rsidR="00AB2683" w:rsidRDefault="0040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683" w:rsidRDefault="00AB268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683" w:rsidRDefault="00402BB6">
      <w:r>
        <w:separator/>
      </w:r>
    </w:p>
  </w:footnote>
  <w:footnote w:type="continuationSeparator" w:id="0">
    <w:p w:rsidR="00AB2683" w:rsidRDefault="0040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683" w:rsidRDefault="00402BB6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1</w:t>
    </w:r>
    <w:r>
      <w:rPr>
        <w:rStyle w:val="afb"/>
      </w:rPr>
      <w:fldChar w:fldCharType="end"/>
    </w:r>
  </w:p>
  <w:p w:rsidR="00AB2683" w:rsidRDefault="00AB268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591"/>
    <w:multiLevelType w:val="hybridMultilevel"/>
    <w:tmpl w:val="FADA3F44"/>
    <w:lvl w:ilvl="0" w:tplc="8D7A19EC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/>
      </w:rPr>
    </w:lvl>
    <w:lvl w:ilvl="1" w:tplc="E82A39B0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/>
      </w:rPr>
    </w:lvl>
    <w:lvl w:ilvl="2" w:tplc="91749544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/>
      </w:rPr>
    </w:lvl>
    <w:lvl w:ilvl="3" w:tplc="CE22AD70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 w:tplc="4100FAEC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 w:tplc="EB2A6D8A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 w:tplc="E4E23A4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 w:tplc="E4308512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 w:tplc="98A6C406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1" w15:restartNumberingAfterBreak="0">
    <w:nsid w:val="0EBE4786"/>
    <w:multiLevelType w:val="multilevel"/>
    <w:tmpl w:val="2E528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5713874"/>
    <w:multiLevelType w:val="hybridMultilevel"/>
    <w:tmpl w:val="13E0CE22"/>
    <w:lvl w:ilvl="0" w:tplc="9A48209C">
      <w:start w:val="1"/>
      <w:numFmt w:val="decimal"/>
      <w:lvlText w:val="%1."/>
      <w:lvlJc w:val="left"/>
      <w:pPr>
        <w:ind w:left="720" w:hanging="360"/>
      </w:pPr>
    </w:lvl>
    <w:lvl w:ilvl="1" w:tplc="65784ACE">
      <w:start w:val="1"/>
      <w:numFmt w:val="lowerLetter"/>
      <w:lvlText w:val="%2."/>
      <w:lvlJc w:val="left"/>
      <w:pPr>
        <w:ind w:left="1440" w:hanging="360"/>
      </w:pPr>
    </w:lvl>
    <w:lvl w:ilvl="2" w:tplc="56962606">
      <w:start w:val="1"/>
      <w:numFmt w:val="lowerRoman"/>
      <w:lvlText w:val="%3."/>
      <w:lvlJc w:val="right"/>
      <w:pPr>
        <w:ind w:left="2160" w:hanging="180"/>
      </w:pPr>
    </w:lvl>
    <w:lvl w:ilvl="3" w:tplc="3766A598">
      <w:start w:val="1"/>
      <w:numFmt w:val="decimal"/>
      <w:lvlText w:val="%4."/>
      <w:lvlJc w:val="left"/>
      <w:pPr>
        <w:ind w:left="2880" w:hanging="360"/>
      </w:pPr>
    </w:lvl>
    <w:lvl w:ilvl="4" w:tplc="41A0F9B4">
      <w:start w:val="1"/>
      <w:numFmt w:val="lowerLetter"/>
      <w:lvlText w:val="%5."/>
      <w:lvlJc w:val="left"/>
      <w:pPr>
        <w:ind w:left="3600" w:hanging="360"/>
      </w:pPr>
    </w:lvl>
    <w:lvl w:ilvl="5" w:tplc="30709504">
      <w:start w:val="1"/>
      <w:numFmt w:val="lowerRoman"/>
      <w:lvlText w:val="%6."/>
      <w:lvlJc w:val="right"/>
      <w:pPr>
        <w:ind w:left="4320" w:hanging="180"/>
      </w:pPr>
    </w:lvl>
    <w:lvl w:ilvl="6" w:tplc="5060EEF4">
      <w:start w:val="1"/>
      <w:numFmt w:val="decimal"/>
      <w:lvlText w:val="%7."/>
      <w:lvlJc w:val="left"/>
      <w:pPr>
        <w:ind w:left="5040" w:hanging="360"/>
      </w:pPr>
    </w:lvl>
    <w:lvl w:ilvl="7" w:tplc="8FAC6336">
      <w:start w:val="1"/>
      <w:numFmt w:val="lowerLetter"/>
      <w:lvlText w:val="%8."/>
      <w:lvlJc w:val="left"/>
      <w:pPr>
        <w:ind w:left="5760" w:hanging="360"/>
      </w:pPr>
    </w:lvl>
    <w:lvl w:ilvl="8" w:tplc="7A323A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6C8D"/>
    <w:multiLevelType w:val="multilevel"/>
    <w:tmpl w:val="D01C7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D9F1D68"/>
    <w:multiLevelType w:val="multilevel"/>
    <w:tmpl w:val="F15CEA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57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5" w15:restartNumberingAfterBreak="0">
    <w:nsid w:val="318B4FEC"/>
    <w:multiLevelType w:val="multilevel"/>
    <w:tmpl w:val="C0FADA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2138"/>
        </w:tabs>
        <w:ind w:left="2138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6" w15:restartNumberingAfterBreak="0">
    <w:nsid w:val="323609CB"/>
    <w:multiLevelType w:val="multilevel"/>
    <w:tmpl w:val="9DB22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851" w:hanging="49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1077325"/>
    <w:multiLevelType w:val="multilevel"/>
    <w:tmpl w:val="E64C75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2502AFA"/>
    <w:multiLevelType w:val="multilevel"/>
    <w:tmpl w:val="E3802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47356EF4"/>
    <w:multiLevelType w:val="multilevel"/>
    <w:tmpl w:val="AAD89A5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10" w15:restartNumberingAfterBreak="0">
    <w:nsid w:val="53C91756"/>
    <w:multiLevelType w:val="multilevel"/>
    <w:tmpl w:val="48623A4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8"/>
      <w:numFmt w:val="decimal"/>
      <w:lvlText w:val="%1.%2."/>
      <w:lvlJc w:val="left"/>
      <w:pPr>
        <w:tabs>
          <w:tab w:val="num" w:pos="1365"/>
        </w:tabs>
        <w:ind w:left="1365" w:hanging="645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 w15:restartNumberingAfterBreak="0">
    <w:nsid w:val="549D5CF9"/>
    <w:multiLevelType w:val="hybridMultilevel"/>
    <w:tmpl w:val="00C859F8"/>
    <w:lvl w:ilvl="0" w:tplc="EEA259C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6714FC5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8C1CAE1E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D620DE4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50F42C26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2788100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E264BE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68E6426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A216B0CE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55D522B5"/>
    <w:multiLevelType w:val="multilevel"/>
    <w:tmpl w:val="04908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C893D0F"/>
    <w:multiLevelType w:val="hybridMultilevel"/>
    <w:tmpl w:val="54C0A6C2"/>
    <w:lvl w:ilvl="0" w:tplc="0A34CD92">
      <w:start w:val="1"/>
      <w:numFmt w:val="decimal"/>
      <w:lvlText w:val="%1."/>
      <w:lvlJc w:val="left"/>
      <w:pPr>
        <w:ind w:left="720" w:hanging="360"/>
      </w:pPr>
    </w:lvl>
    <w:lvl w:ilvl="1" w:tplc="06FEC236">
      <w:start w:val="1"/>
      <w:numFmt w:val="lowerLetter"/>
      <w:lvlText w:val="%2."/>
      <w:lvlJc w:val="left"/>
      <w:pPr>
        <w:ind w:left="1440" w:hanging="360"/>
      </w:pPr>
    </w:lvl>
    <w:lvl w:ilvl="2" w:tplc="47D66A40">
      <w:start w:val="1"/>
      <w:numFmt w:val="lowerRoman"/>
      <w:lvlText w:val="%3."/>
      <w:lvlJc w:val="right"/>
      <w:pPr>
        <w:ind w:left="2160" w:hanging="180"/>
      </w:pPr>
    </w:lvl>
    <w:lvl w:ilvl="3" w:tplc="A970CF3C">
      <w:start w:val="1"/>
      <w:numFmt w:val="decimal"/>
      <w:lvlText w:val="%4."/>
      <w:lvlJc w:val="left"/>
      <w:pPr>
        <w:ind w:left="2880" w:hanging="360"/>
      </w:pPr>
    </w:lvl>
    <w:lvl w:ilvl="4" w:tplc="E31408DE">
      <w:start w:val="1"/>
      <w:numFmt w:val="lowerLetter"/>
      <w:lvlText w:val="%5."/>
      <w:lvlJc w:val="left"/>
      <w:pPr>
        <w:ind w:left="3600" w:hanging="360"/>
      </w:pPr>
    </w:lvl>
    <w:lvl w:ilvl="5" w:tplc="8626D1EA">
      <w:start w:val="1"/>
      <w:numFmt w:val="lowerRoman"/>
      <w:lvlText w:val="%6."/>
      <w:lvlJc w:val="right"/>
      <w:pPr>
        <w:ind w:left="4320" w:hanging="180"/>
      </w:pPr>
    </w:lvl>
    <w:lvl w:ilvl="6" w:tplc="82FA4E00">
      <w:start w:val="1"/>
      <w:numFmt w:val="decimal"/>
      <w:lvlText w:val="%7."/>
      <w:lvlJc w:val="left"/>
      <w:pPr>
        <w:ind w:left="5040" w:hanging="360"/>
      </w:pPr>
    </w:lvl>
    <w:lvl w:ilvl="7" w:tplc="A896F71A">
      <w:start w:val="1"/>
      <w:numFmt w:val="lowerLetter"/>
      <w:lvlText w:val="%8."/>
      <w:lvlJc w:val="left"/>
      <w:pPr>
        <w:ind w:left="5760" w:hanging="360"/>
      </w:pPr>
    </w:lvl>
    <w:lvl w:ilvl="8" w:tplc="218EA9A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360B2"/>
    <w:multiLevelType w:val="multilevel"/>
    <w:tmpl w:val="C4EAD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1134" w:hanging="77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0D86AE4"/>
    <w:multiLevelType w:val="multilevel"/>
    <w:tmpl w:val="8F12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964" w:hanging="60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A2C3EF1"/>
    <w:multiLevelType w:val="multilevel"/>
    <w:tmpl w:val="E4041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BA6567C"/>
    <w:multiLevelType w:val="hybridMultilevel"/>
    <w:tmpl w:val="54FA5D30"/>
    <w:lvl w:ilvl="0" w:tplc="5552945C">
      <w:start w:val="1"/>
      <w:numFmt w:val="bullet"/>
      <w:lvlText w:val="-"/>
      <w:lvlJc w:val="left"/>
      <w:pPr>
        <w:tabs>
          <w:tab w:val="num" w:pos="839"/>
        </w:tabs>
        <w:ind w:left="839" w:hanging="131"/>
      </w:pPr>
      <w:rPr>
        <w:rFonts w:ascii="Times New Roman" w:hAnsi="Times New Roman"/>
      </w:rPr>
    </w:lvl>
    <w:lvl w:ilvl="1" w:tplc="0DDE43BA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</w:lvl>
    <w:lvl w:ilvl="2" w:tplc="B42A42E2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553A01BA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761A2026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B0C26FDE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2EC23CDA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CC3803D0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C5FCDE68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18" w15:restartNumberingAfterBreak="0">
    <w:nsid w:val="7DEC1E13"/>
    <w:multiLevelType w:val="multilevel"/>
    <w:tmpl w:val="5E2EA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0"/>
  </w:num>
  <w:num w:numId="3">
    <w:abstractNumId w:val="17"/>
  </w:num>
  <w:num w:numId="4">
    <w:abstractNumId w:val="11"/>
  </w:num>
  <w:num w:numId="5">
    <w:abstractNumId w:val="7"/>
  </w:num>
  <w:num w:numId="6">
    <w:abstractNumId w:val="12"/>
  </w:num>
  <w:num w:numId="7">
    <w:abstractNumId w:val="3"/>
  </w:num>
  <w:num w:numId="8">
    <w:abstractNumId w:val="1"/>
  </w:num>
  <w:num w:numId="9">
    <w:abstractNumId w:val="16"/>
  </w:num>
  <w:num w:numId="10">
    <w:abstractNumId w:val="6"/>
  </w:num>
  <w:num w:numId="11">
    <w:abstractNumId w:val="14"/>
  </w:num>
  <w:num w:numId="12">
    <w:abstractNumId w:val="18"/>
  </w:num>
  <w:num w:numId="13">
    <w:abstractNumId w:val="8"/>
  </w:num>
  <w:num w:numId="14">
    <w:abstractNumId w:val="13"/>
  </w:num>
  <w:num w:numId="15">
    <w:abstractNumId w:val="2"/>
  </w:num>
  <w:num w:numId="16">
    <w:abstractNumId w:val="9"/>
  </w:num>
  <w:num w:numId="17">
    <w:abstractNumId w:val="4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83"/>
    <w:rsid w:val="00402BB6"/>
    <w:rsid w:val="00AB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16054"/>
  <w15:docId w15:val="{664DEBA0-9820-44D3-9CEE-DE4CAD78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pPr>
      <w:keepNext/>
      <w:spacing w:before="120" w:line="360" w:lineRule="auto"/>
      <w:jc w:val="center"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33">
    <w:name w:val="Body Text Indent 3"/>
    <w:basedOn w:val="a"/>
    <w:pPr>
      <w:ind w:left="1134" w:hanging="1134"/>
      <w:jc w:val="both"/>
    </w:pPr>
    <w:rPr>
      <w:bCs/>
      <w:sz w:val="20"/>
      <w:szCs w:val="20"/>
    </w:rPr>
  </w:style>
  <w:style w:type="paragraph" w:styleId="afa">
    <w:name w:val="Balloon Text"/>
    <w:basedOn w:val="a"/>
    <w:semiHidden/>
    <w:rPr>
      <w:rFonts w:ascii="Tahoma" w:hAnsi="Tahoma"/>
      <w:sz w:val="16"/>
      <w:szCs w:val="16"/>
    </w:rPr>
  </w:style>
  <w:style w:type="character" w:styleId="afb">
    <w:name w:val="page number"/>
    <w:basedOn w:val="a0"/>
  </w:style>
  <w:style w:type="character" w:styleId="afc">
    <w:name w:val="annotation reference"/>
    <w:rPr>
      <w:sz w:val="16"/>
      <w:szCs w:val="16"/>
    </w:rPr>
  </w:style>
  <w:style w:type="paragraph" w:styleId="afd">
    <w:name w:val="annotation text"/>
    <w:basedOn w:val="a"/>
    <w:link w:val="afe"/>
    <w:rPr>
      <w:sz w:val="20"/>
      <w:szCs w:val="20"/>
    </w:rPr>
  </w:style>
  <w:style w:type="character" w:customStyle="1" w:styleId="afe">
    <w:name w:val="Текст примечания Знак"/>
    <w:basedOn w:val="a0"/>
    <w:link w:val="afd"/>
  </w:style>
  <w:style w:type="paragraph" w:styleId="aff">
    <w:name w:val="annotation subject"/>
    <w:basedOn w:val="afd"/>
    <w:next w:val="afd"/>
    <w:link w:val="aff0"/>
    <w:rPr>
      <w:b/>
      <w:bCs/>
    </w:rPr>
  </w:style>
  <w:style w:type="character" w:customStyle="1" w:styleId="aff0">
    <w:name w:val="Тема примечания Знак"/>
    <w:link w:val="aff"/>
    <w:rPr>
      <w:b/>
      <w:bCs/>
    </w:rPr>
  </w:style>
  <w:style w:type="paragraph" w:styleId="aff1">
    <w:name w:val="Revision"/>
    <w:hidden/>
    <w:semiHidden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1467</Words>
  <Characters>8365</Characters>
  <Application>Microsoft Office Word</Application>
  <DocSecurity>0</DocSecurity>
  <Lines>69</Lines>
  <Paragraphs>19</Paragraphs>
  <ScaleCrop>false</ScaleCrop>
  <Company>DVGK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Федорищева Светлана Евгеньевна</cp:lastModifiedBy>
  <cp:revision>2</cp:revision>
  <dcterms:created xsi:type="dcterms:W3CDTF">2024-02-19T00:25:00Z</dcterms:created>
  <dcterms:modified xsi:type="dcterms:W3CDTF">2024-02-19T00:25:00Z</dcterms:modified>
</cp:coreProperties>
</file>